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val="0"/>
          <w:sz w:val="44"/>
          <w:szCs w:val="44"/>
        </w:rPr>
      </w:pPr>
      <w:r>
        <w:rPr>
          <w:rFonts w:hint="eastAsia" w:asciiTheme="minorEastAsia" w:hAnsiTheme="minorEastAsia"/>
          <w:b/>
          <w:bCs w:val="0"/>
          <w:sz w:val="44"/>
          <w:szCs w:val="44"/>
        </w:rPr>
        <w:t>国务院教育督导委2017秋季开学专项督导检查表</w:t>
      </w:r>
    </w:p>
    <w:p>
      <w:pPr>
        <w:jc w:val="center"/>
        <w:rPr>
          <w:rFonts w:asciiTheme="minorEastAsia" w:hAnsiTheme="minorEastAsia"/>
          <w:b/>
          <w:bCs w:val="0"/>
          <w:sz w:val="24"/>
          <w:szCs w:val="24"/>
        </w:rPr>
      </w:pPr>
    </w:p>
    <w:p>
      <w:pPr>
        <w:ind w:firstLine="562" w:firstLineChars="200"/>
        <w:rPr>
          <w:rFonts w:hint="eastAsia" w:ascii="宋体" w:hAnsi="宋体" w:eastAsia="宋体" w:cs="宋体"/>
          <w:b/>
          <w:bCs w:val="0"/>
          <w:sz w:val="28"/>
          <w:szCs w:val="28"/>
          <w:u w:val="single"/>
        </w:rPr>
      </w:pPr>
      <w:r>
        <w:rPr>
          <w:rFonts w:hint="eastAsia" w:ascii="宋体" w:hAnsi="宋体" w:eastAsia="宋体" w:cs="宋体"/>
          <w:b/>
          <w:bCs w:val="0"/>
          <w:sz w:val="28"/>
          <w:szCs w:val="28"/>
        </w:rPr>
        <w:t>学校：</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rPr>
        <w:t>（公章）  填表人：</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rPr>
        <w:t>校长签字：</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rPr>
        <w:t>检查人：</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u w:val="single"/>
          <w:lang w:val="en-US" w:eastAsia="zh-CN"/>
        </w:rPr>
        <w:t xml:space="preserve">    </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rPr>
        <w:t xml:space="preserve"> 检查日期：</w:t>
      </w:r>
      <w:r>
        <w:rPr>
          <w:rFonts w:hint="eastAsia" w:ascii="宋体" w:hAnsi="宋体" w:eastAsia="宋体" w:cs="宋体"/>
          <w:b/>
          <w:bCs w:val="0"/>
          <w:sz w:val="28"/>
          <w:szCs w:val="28"/>
          <w:u w:val="single"/>
        </w:rPr>
        <w:t xml:space="preserve">       </w:t>
      </w:r>
    </w:p>
    <w:tbl>
      <w:tblPr>
        <w:tblStyle w:val="6"/>
        <w:tblpPr w:leftFromText="180" w:rightFromText="180" w:vertAnchor="text" w:horzAnchor="page" w:tblpX="726" w:tblpY="81"/>
        <w:tblOverlap w:val="never"/>
        <w:tblW w:w="14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435"/>
        <w:gridCol w:w="978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jc w:val="center"/>
              <w:rPr>
                <w:rFonts w:ascii="黑体" w:hAnsi="黑体" w:eastAsia="黑体"/>
                <w:b w:val="0"/>
                <w:bCs/>
                <w:color w:val="000000" w:themeColor="text1"/>
                <w:sz w:val="24"/>
                <w:szCs w:val="24"/>
                <w14:textFill>
                  <w14:solidFill>
                    <w14:schemeClr w14:val="tx1"/>
                  </w14:solidFill>
                </w14:textFill>
              </w:rPr>
            </w:pPr>
            <w:r>
              <w:rPr>
                <w:rFonts w:ascii="黑体" w:hAnsi="黑体" w:eastAsia="黑体"/>
                <w:b w:val="0"/>
                <w:bCs/>
                <w:color w:val="000000" w:themeColor="text1"/>
                <w:sz w:val="24"/>
                <w:szCs w:val="24"/>
                <w14:textFill>
                  <w14:solidFill>
                    <w14:schemeClr w14:val="tx1"/>
                  </w14:solidFill>
                </w14:textFill>
              </w:rPr>
              <w:t>一级指标</w:t>
            </w:r>
          </w:p>
        </w:tc>
        <w:tc>
          <w:tcPr>
            <w:tcW w:w="2435" w:type="dxa"/>
            <w:vAlign w:val="center"/>
          </w:tcPr>
          <w:p>
            <w:pPr>
              <w:jc w:val="center"/>
              <w:rPr>
                <w:rFonts w:ascii="黑体" w:hAnsi="黑体" w:eastAsia="黑体"/>
                <w:b w:val="0"/>
                <w:bCs/>
                <w:color w:val="000000" w:themeColor="text1"/>
                <w:sz w:val="24"/>
                <w:szCs w:val="24"/>
                <w14:textFill>
                  <w14:solidFill>
                    <w14:schemeClr w14:val="tx1"/>
                  </w14:solidFill>
                </w14:textFill>
              </w:rPr>
            </w:pPr>
            <w:r>
              <w:rPr>
                <w:rFonts w:hint="eastAsia" w:ascii="黑体" w:hAnsi="黑体" w:eastAsia="黑体"/>
                <w:b w:val="0"/>
                <w:bCs/>
                <w:color w:val="000000" w:themeColor="text1"/>
                <w:sz w:val="24"/>
                <w:szCs w:val="24"/>
                <w14:textFill>
                  <w14:solidFill>
                    <w14:schemeClr w14:val="tx1"/>
                  </w14:solidFill>
                </w14:textFill>
              </w:rPr>
              <w:t>二</w:t>
            </w:r>
            <w:r>
              <w:rPr>
                <w:rFonts w:ascii="黑体" w:hAnsi="黑体" w:eastAsia="黑体"/>
                <w:b w:val="0"/>
                <w:bCs/>
                <w:color w:val="000000" w:themeColor="text1"/>
                <w:sz w:val="24"/>
                <w:szCs w:val="24"/>
                <w14:textFill>
                  <w14:solidFill>
                    <w14:schemeClr w14:val="tx1"/>
                  </w14:solidFill>
                </w14:textFill>
              </w:rPr>
              <w:t>级指标</w:t>
            </w:r>
          </w:p>
        </w:tc>
        <w:tc>
          <w:tcPr>
            <w:tcW w:w="9780" w:type="dxa"/>
            <w:vAlign w:val="center"/>
          </w:tcPr>
          <w:p>
            <w:pPr>
              <w:jc w:val="center"/>
              <w:rPr>
                <w:rFonts w:ascii="黑体" w:hAnsi="黑体" w:eastAsia="黑体"/>
                <w:b w:val="0"/>
                <w:bCs/>
                <w:color w:val="000000" w:themeColor="text1"/>
                <w:sz w:val="24"/>
                <w:szCs w:val="24"/>
                <w14:textFill>
                  <w14:solidFill>
                    <w14:schemeClr w14:val="tx1"/>
                  </w14:solidFill>
                </w14:textFill>
              </w:rPr>
            </w:pPr>
            <w:r>
              <w:rPr>
                <w:rFonts w:hint="eastAsia" w:ascii="黑体" w:hAnsi="黑体" w:eastAsia="黑体"/>
                <w:b w:val="0"/>
                <w:bCs/>
                <w:color w:val="000000" w:themeColor="text1"/>
                <w:sz w:val="24"/>
                <w:szCs w:val="24"/>
                <w14:textFill>
                  <w14:solidFill>
                    <w14:schemeClr w14:val="tx1"/>
                  </w14:solidFill>
                </w14:textFill>
              </w:rPr>
              <w:t>三</w:t>
            </w:r>
            <w:r>
              <w:rPr>
                <w:rFonts w:ascii="黑体" w:hAnsi="黑体" w:eastAsia="黑体"/>
                <w:b w:val="0"/>
                <w:bCs/>
                <w:color w:val="000000" w:themeColor="text1"/>
                <w:sz w:val="24"/>
                <w:szCs w:val="24"/>
                <w14:textFill>
                  <w14:solidFill>
                    <w14:schemeClr w14:val="tx1"/>
                  </w14:solidFill>
                </w14:textFill>
              </w:rPr>
              <w:t>级指标</w:t>
            </w:r>
          </w:p>
        </w:tc>
        <w:tc>
          <w:tcPr>
            <w:tcW w:w="1701" w:type="dxa"/>
            <w:vAlign w:val="center"/>
          </w:tcPr>
          <w:p>
            <w:pPr>
              <w:jc w:val="center"/>
              <w:rPr>
                <w:rFonts w:ascii="黑体" w:hAnsi="黑体" w:eastAsia="黑体"/>
                <w:b w:val="0"/>
                <w:bCs/>
                <w:color w:val="000000" w:themeColor="text1"/>
                <w:sz w:val="24"/>
                <w:szCs w:val="24"/>
                <w14:textFill>
                  <w14:solidFill>
                    <w14:schemeClr w14:val="tx1"/>
                  </w14:solidFill>
                </w14:textFill>
              </w:rPr>
            </w:pPr>
            <w:r>
              <w:rPr>
                <w:rFonts w:ascii="黑体" w:hAnsi="黑体" w:eastAsia="黑体"/>
                <w:b w:val="0"/>
                <w:bCs/>
                <w:color w:val="000000" w:themeColor="text1"/>
                <w:sz w:val="24"/>
                <w:szCs w:val="24"/>
                <w14:textFill>
                  <w14:solidFill>
                    <w14:schemeClr w14:val="tx1"/>
                  </w14:solidFill>
                </w14:textFill>
              </w:rPr>
              <w:t>学校完成情况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restart"/>
            <w:vAlign w:val="center"/>
          </w:tcPr>
          <w:p>
            <w:pPr>
              <w:rPr>
                <w:b w:val="0"/>
                <w:bCs/>
                <w:color w:val="000000" w:themeColor="text1"/>
                <w:sz w:val="28"/>
                <w:szCs w:val="28"/>
                <w14:textFill>
                  <w14:solidFill>
                    <w14:schemeClr w14:val="tx1"/>
                  </w14:solidFill>
                </w14:textFill>
              </w:rPr>
            </w:pPr>
            <w:r>
              <w:rPr>
                <w:rFonts w:hint="eastAsia" w:ascii="黑体" w:hAnsi="仿宋_GB2312" w:eastAsia="黑体" w:cs="仿宋_GB2312"/>
                <w:b w:val="0"/>
                <w:bCs/>
                <w:color w:val="000000" w:themeColor="text1"/>
                <w:sz w:val="24"/>
                <w:szCs w:val="24"/>
                <w14:textFill>
                  <w14:solidFill>
                    <w14:schemeClr w14:val="tx1"/>
                  </w14:solidFill>
                </w14:textFill>
              </w:rPr>
              <w:t>一、开学条件保障</w:t>
            </w: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1.组织师生按时返校情况。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（1）教职员工是否及时到岗。</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rFonts w:ascii="黑体" w:hAnsi="仿宋_GB2312" w:eastAsia="黑体" w:cs="仿宋_GB2312"/>
                <w:b w:val="0"/>
                <w:bCs/>
                <w:color w:val="000000" w:themeColor="text1"/>
                <w:sz w:val="28"/>
                <w:szCs w:val="28"/>
                <w14:textFill>
                  <w14:solidFill>
                    <w14:schemeClr w14:val="tx1"/>
                  </w14:solidFill>
                </w14:textFill>
              </w:rPr>
            </w:pPr>
          </w:p>
        </w:tc>
        <w:tc>
          <w:tcPr>
            <w:tcW w:w="2435" w:type="dxa"/>
            <w:vMerge w:val="continue"/>
            <w:vAlign w:val="center"/>
          </w:tcPr>
          <w:p>
            <w:pPr>
              <w:rPr>
                <w:rFonts w:cs="仿宋_GB2312"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（2）学生是否按时返校。</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2.落实学生资助政策情况。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（1）是否积极落实国家资助政策。</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cs="仿宋_GB2312"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（2）是否出现学生因家庭经济困难而辍学。</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3.义务教育道德与法治、语文、历史三科统编教材是否按照中央要求，在所有地区起始年级实现全覆盖使用。</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（1）义务教育道德与法治、语文、历史三科统编教材是否按照中央要求，在所有地区起始年级实现全覆盖使用。</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（2）义务教育小学科学一年级教材是否按教学用书要求在所有学校都开设课程。</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（3）教材和教辅材料是否符合国家有关规定要求。</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（4）教材选用工作是否符合《中小学教科书选用管理暂行办法》有关规定。</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（5）是否在开课前将教材发放到学生手中。</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（6）教辅材料的选用是否符合《中小学教辅材料管理办法》有关规定。</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4.实验室及实习、实训保障情况。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（1）高职校实验室、实习场所及其设施设备配置是否符合教学需要，运行维护是否符合国家规范。</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（2）职业院校落实《职业学校学生实习管理规定》情况以及校内实训基地和校外实习基地条件是否满足教学计划需要，管理制度是否健全，“双师型”教师是否满足教育教学需要。</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5.后勤保障情况。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（1）学校网络、多媒体设备、教学终端等各种教学设施设备及生活设施设备是否经过检修维护。</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（2）饮食、住宿、水电暖等各项后勤保障工作是否到位。</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6.经费保障机制落实情况。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（1）是否统一城乡义务教育学校生均公用经费基准定额并落实资金。</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（2）是否落实高职生均拨款制度。</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7.开学主题教育活动情况。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（1）是否认真落实《中小学生守则（2015年修订）》，做到上墙、入屏，并开展爱学习、爱劳动、爱祖国“三爱”和节粮、节水、节电“三节”教育活动以及安全防范主题教育活动。</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（2）高职校是否做好新生心理健康状况普查和心理危机排查工作。</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3" w:type="dxa"/>
            <w:vAlign w:val="center"/>
          </w:tcPr>
          <w:p>
            <w:pPr>
              <w:rPr>
                <w:b w:val="0"/>
                <w:bCs/>
                <w:color w:val="000000" w:themeColor="text1"/>
                <w:sz w:val="28"/>
                <w:szCs w:val="28"/>
                <w14:textFill>
                  <w14:solidFill>
                    <w14:schemeClr w14:val="tx1"/>
                  </w14:solidFill>
                </w14:textFill>
              </w:rPr>
            </w:pPr>
            <w:r>
              <w:rPr>
                <w:rFonts w:hint="eastAsia" w:ascii="黑体" w:hAnsi="仿宋_GB2312" w:eastAsia="黑体" w:cs="仿宋_GB2312"/>
                <w:b w:val="0"/>
                <w:bCs/>
                <w:color w:val="000000" w:themeColor="text1"/>
                <w:sz w:val="24"/>
                <w:szCs w:val="24"/>
                <w14:textFill>
                  <w14:solidFill>
                    <w14:schemeClr w14:val="tx1"/>
                  </w14:solidFill>
                </w14:textFill>
              </w:rPr>
              <w:t>二、校舍安全管理</w:t>
            </w:r>
          </w:p>
        </w:tc>
        <w:tc>
          <w:tcPr>
            <w:tcW w:w="2435" w:type="dxa"/>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8.校舍隐患排查情况。</w:t>
            </w:r>
          </w:p>
        </w:tc>
        <w:tc>
          <w:tcPr>
            <w:tcW w:w="9780" w:type="dxa"/>
            <w:vAlign w:val="center"/>
          </w:tcPr>
          <w:p>
            <w:pPr>
              <w:ind w:firstLine="420" w:firstLineChars="200"/>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是否建立中小学校舍安全年检制度，定期对校舍进行安全隐患排查，并将排查信息录入全国中小学校校舍信息管理系统，消除所有D级危房。</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restart"/>
            <w:vAlign w:val="center"/>
          </w:tcPr>
          <w:p>
            <w:pPr>
              <w:rPr>
                <w:rFonts w:ascii="黑体" w:hAnsi="仿宋_GB2312" w:eastAsia="黑体" w:cs="仿宋_GB2312"/>
                <w:b w:val="0"/>
                <w:bCs/>
                <w:color w:val="000000" w:themeColor="text1"/>
                <w:sz w:val="24"/>
                <w:szCs w:val="24"/>
                <w14:textFill>
                  <w14:solidFill>
                    <w14:schemeClr w14:val="tx1"/>
                  </w14:solidFill>
                </w14:textFill>
              </w:rPr>
            </w:pPr>
            <w:r>
              <w:rPr>
                <w:rFonts w:hint="eastAsia" w:ascii="黑体" w:hAnsi="仿宋_GB2312" w:eastAsia="黑体" w:cs="仿宋_GB2312"/>
                <w:b w:val="0"/>
                <w:bCs/>
                <w:color w:val="000000" w:themeColor="text1"/>
                <w:sz w:val="24"/>
                <w:szCs w:val="24"/>
                <w14:textFill>
                  <w14:solidFill>
                    <w14:schemeClr w14:val="tx1"/>
                  </w14:solidFill>
                </w14:textFill>
              </w:rPr>
              <w:t>三、食品饮水安全与卫生防疫管理</w:t>
            </w: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9.食品与饮水安全管理情况。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（1）是否加强食品安全和卫生防疫工作，不断完善学校食品安全管理制度和食堂就餐环境。</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4"/>
                <w:szCs w:val="24"/>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（2）学校食堂食品采购环节、运输环节、储存环节、加工环节等是否存在卫生和安全隐患。</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b w:val="0"/>
                <w:bCs/>
                <w:color w:val="000000" w:themeColor="text1"/>
                <w:sz w:val="24"/>
                <w:szCs w:val="24"/>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（3）自备水源、二次供水及直饮水设施、食堂蓄水池等是否清洁、消毒，是否进行水质检测。</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3" w:type="dxa"/>
            <w:vMerge w:val="restart"/>
            <w:vAlign w:val="center"/>
          </w:tcPr>
          <w:p>
            <w:pPr>
              <w:rPr>
                <w:rFonts w:hint="eastAsia" w:ascii="黑体" w:hAnsi="仿宋_GB2312" w:eastAsia="黑体" w:cs="仿宋_GB2312"/>
                <w:b w:val="0"/>
                <w:bCs/>
                <w:color w:val="000000" w:themeColor="text1"/>
                <w:sz w:val="24"/>
                <w:szCs w:val="24"/>
                <w14:textFill>
                  <w14:solidFill>
                    <w14:schemeClr w14:val="tx1"/>
                  </w14:solidFill>
                </w14:textFill>
              </w:rPr>
            </w:pPr>
          </w:p>
          <w:p>
            <w:pPr>
              <w:rPr>
                <w:rFonts w:ascii="黑体" w:hAnsi="仿宋_GB2312" w:eastAsia="黑体" w:cs="仿宋_GB2312"/>
                <w:b w:val="0"/>
                <w:bCs/>
                <w:color w:val="000000" w:themeColor="text1"/>
                <w:sz w:val="24"/>
                <w:szCs w:val="24"/>
                <w14:textFill>
                  <w14:solidFill>
                    <w14:schemeClr w14:val="tx1"/>
                  </w14:solidFill>
                </w14:textFill>
              </w:rPr>
            </w:pPr>
            <w:r>
              <w:rPr>
                <w:rFonts w:hint="eastAsia" w:ascii="黑体" w:hAnsi="仿宋_GB2312" w:eastAsia="黑体" w:cs="仿宋_GB2312"/>
                <w:b w:val="0"/>
                <w:bCs/>
                <w:color w:val="000000" w:themeColor="text1"/>
                <w:sz w:val="24"/>
                <w:szCs w:val="24"/>
                <w14:textFill>
                  <w14:solidFill>
                    <w14:schemeClr w14:val="tx1"/>
                  </w14:solidFill>
                </w14:textFill>
              </w:rPr>
              <w:t>四、校车安全管理</w:t>
            </w:r>
          </w:p>
          <w:p>
            <w:pPr>
              <w:rPr>
                <w:rFonts w:ascii="黑体" w:hAnsi="仿宋_GB2312" w:eastAsia="黑体" w:cs="仿宋_GB2312"/>
                <w:b w:val="0"/>
                <w:bCs/>
                <w:color w:val="000000" w:themeColor="text1"/>
                <w:sz w:val="24"/>
                <w:szCs w:val="24"/>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10.学生上下学交通安全和校车安全管理情况。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（1）是否存在使用拼装车、报废车、未取得校车使用许可车辆接送学生，以及未取得校车驾驶资格人员驾驶校车、超速、超员、不按许可路线行驶等违法行为。</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rFonts w:ascii="黑体" w:hAnsi="仿宋_GB2312" w:eastAsia="黑体" w:cs="仿宋_GB2312"/>
                <w:b w:val="0"/>
                <w:bCs/>
                <w:color w:val="000000" w:themeColor="text1"/>
                <w:sz w:val="24"/>
                <w:szCs w:val="24"/>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（2）是否按照要求设置校车站点，校车运营是否按照要求落实各项安全管理制度。</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rPr>
                <w:rFonts w:ascii="黑体" w:hAnsi="仿宋_GB2312" w:eastAsia="黑体" w:cs="仿宋_GB2312"/>
                <w:b w:val="0"/>
                <w:bCs/>
                <w:color w:val="000000" w:themeColor="text1"/>
                <w:sz w:val="24"/>
                <w:szCs w:val="24"/>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（3）学校门口道路是否设置警示牌、减震带。</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53" w:type="dxa"/>
            <w:vMerge w:val="continue"/>
            <w:vAlign w:val="center"/>
          </w:tcPr>
          <w:p>
            <w:pPr>
              <w:rPr>
                <w:rFonts w:ascii="黑体" w:hAnsi="仿宋_GB2312" w:eastAsia="黑体" w:cs="仿宋_GB2312"/>
                <w:b w:val="0"/>
                <w:bCs/>
                <w:color w:val="000000" w:themeColor="text1"/>
                <w:sz w:val="24"/>
                <w:szCs w:val="24"/>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（4）是否</w:t>
            </w:r>
            <w:r>
              <w:rPr>
                <w:rFonts w:cs="仿宋_GB2312" w:asciiTheme="majorEastAsia" w:hAnsiTheme="majorEastAsia" w:eastAsiaTheme="majorEastAsia"/>
                <w:b w:val="0"/>
                <w:bCs/>
                <w:color w:val="000000" w:themeColor="text1"/>
                <w:kern w:val="0"/>
                <w:szCs w:val="21"/>
                <w14:textFill>
                  <w14:solidFill>
                    <w14:schemeClr w14:val="tx1"/>
                  </w14:solidFill>
                </w14:textFill>
              </w:rPr>
              <w:t>针对</w:t>
            </w: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不同季节交通安全</w:t>
            </w:r>
            <w:r>
              <w:rPr>
                <w:rFonts w:cs="仿宋_GB2312" w:asciiTheme="majorEastAsia" w:hAnsiTheme="majorEastAsia" w:eastAsiaTheme="majorEastAsia"/>
                <w:b w:val="0"/>
                <w:bCs/>
                <w:color w:val="000000" w:themeColor="text1"/>
                <w:kern w:val="0"/>
                <w:szCs w:val="21"/>
                <w14:textFill>
                  <w14:solidFill>
                    <w14:schemeClr w14:val="tx1"/>
                  </w14:solidFill>
                </w14:textFill>
              </w:rPr>
              <w:t>特点</w:t>
            </w: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w:t>
            </w:r>
            <w:r>
              <w:rPr>
                <w:rFonts w:cs="仿宋_GB2312" w:asciiTheme="majorEastAsia" w:hAnsiTheme="majorEastAsia" w:eastAsiaTheme="majorEastAsia"/>
                <w:b w:val="0"/>
                <w:bCs/>
                <w:color w:val="000000" w:themeColor="text1"/>
                <w:kern w:val="0"/>
                <w:szCs w:val="21"/>
                <w14:textFill>
                  <w14:solidFill>
                    <w14:schemeClr w14:val="tx1"/>
                  </w14:solidFill>
                </w14:textFill>
              </w:rPr>
              <w:t>完善事故应急处置预案，开展事故逃生演练和应急处置演练</w:t>
            </w: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restart"/>
            <w:vAlign w:val="center"/>
          </w:tcPr>
          <w:p>
            <w:pPr>
              <w:rPr>
                <w:rFonts w:ascii="黑体" w:hAnsi="仿宋_GB2312" w:eastAsia="黑体" w:cs="仿宋_GB2312"/>
                <w:b w:val="0"/>
                <w:bCs/>
                <w:color w:val="000000" w:themeColor="text1"/>
                <w:sz w:val="24"/>
                <w:szCs w:val="24"/>
                <w14:textFill>
                  <w14:solidFill>
                    <w14:schemeClr w14:val="tx1"/>
                  </w14:solidFill>
                </w14:textFill>
              </w:rPr>
            </w:pPr>
            <w:r>
              <w:rPr>
                <w:rFonts w:hint="eastAsia" w:ascii="黑体" w:hAnsi="仿宋_GB2312" w:eastAsia="黑体" w:cs="仿宋_GB2312"/>
                <w:b w:val="0"/>
                <w:bCs/>
                <w:color w:val="000000" w:themeColor="text1"/>
                <w:sz w:val="24"/>
                <w:szCs w:val="24"/>
                <w14:textFill>
                  <w14:solidFill>
                    <w14:schemeClr w14:val="tx1"/>
                  </w14:solidFill>
                </w14:textFill>
              </w:rPr>
              <w:t>五、校园安全管理和安全教育</w:t>
            </w:r>
          </w:p>
          <w:p>
            <w:pPr>
              <w:rPr>
                <w:rFonts w:ascii="黑体" w:hAnsi="仿宋_GB2312" w:eastAsia="黑体" w:cs="仿宋_GB2312"/>
                <w:b w:val="0"/>
                <w:bCs/>
                <w:color w:val="000000" w:themeColor="text1"/>
                <w:sz w:val="24"/>
                <w:szCs w:val="24"/>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11.学校“三防”建设落实情况。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（1）学校是否配齐必要的安全防护、应急处置装备。</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（2）校园重点部位是否安装视频监控。</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（3）寄宿制校园是否设专职宿舍管理员。</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（4）校园安全管理制度是否完善。</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12.重点领域治理情况。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（1）是否按照要求切实加强学生预防溺水事故的宣传教育。</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（2）是否采取措施有效防止校园拥挤踩踏事故，维持好高峰时段学生上下楼秩序。</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（3）是否强化校园消防安全防控，进行电器火灾综合治理，落实消防安全责任制，定期检查消防设施和器材配置及完好有效情况，组织开展消防演练和应急疏散演练。</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13.防范非法入侵校园导致学生伤亡情况</w:t>
            </w: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（1）各校是否制定健全舆情信息分析安全预警快速反应和排查化解联动处置机制和工作责任制。</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（2）是否加强安全保卫工作队伍建设。</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（3）是否定期开展安全应急演练工作。</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（4）是否经常性对师生开展法治教育、公共安全教育和反邪教警示教育。</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14.</w:t>
            </w: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校园欺凌和暴力治理情况。</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（1）是否集中对学生开展以校园欺凌治理为主题的专题教育。</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（2）是否建立学校安全风险预防、管控与处置制度和工作机制。</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（3）是否制定完善安全预警快速反应和联动处置机制，形成防治学生欺凌和暴力的工作合力。</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hint="eastAsia" w:cs="仿宋_GB2312" w:asciiTheme="majorEastAsia" w:hAnsiTheme="majorEastAsia" w:eastAsiaTheme="majorEastAsia"/>
                <w:b w:val="0"/>
                <w:bCs/>
                <w:color w:val="000000" w:themeColor="text1"/>
                <w:szCs w:val="21"/>
                <w14:textFill>
                  <w14:solidFill>
                    <w14:schemeClr w14:val="tx1"/>
                  </w14:solidFill>
                </w14:textFill>
              </w:rPr>
              <w:t>15.校园周边综合防控工作开展情况</w:t>
            </w: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（1）警校联动机制是否建立。</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（2）校园周边公安机关高峰勤务、“护学岗”和群防群治机制是否健全。</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（3）校园周边警务室民警是否经常到校沟通联系、指导工作。</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（4）教育行政部门是否经常协调有关部门对校园及周边治安乱点和重点隐患进行专项排查整改，非法出版物、网吧、娱乐场所、危险玩具销售整治，加强校园及周边治安环境综合治理工作。</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restart"/>
            <w:vAlign w:val="center"/>
          </w:tcPr>
          <w:p>
            <w:pPr>
              <w:rPr>
                <w:rFonts w:asciiTheme="majorEastAsia" w:hAnsiTheme="majorEastAsia" w:eastAsiaTheme="majorEastAsia"/>
                <w:b w:val="0"/>
                <w:bCs/>
                <w:color w:val="000000" w:themeColor="text1"/>
                <w:szCs w:val="21"/>
                <w14:textFill>
                  <w14:solidFill>
                    <w14:schemeClr w14:val="tx1"/>
                  </w14:solidFill>
                </w14:textFill>
              </w:rPr>
            </w:pPr>
            <w:r>
              <w:rPr>
                <w:rFonts w:cs="方正小标宋简体" w:asciiTheme="majorEastAsia" w:hAnsiTheme="majorEastAsia" w:eastAsiaTheme="majorEastAsia"/>
                <w:b w:val="0"/>
                <w:bCs/>
                <w:color w:val="000000" w:themeColor="text1"/>
                <w:szCs w:val="21"/>
                <w14:textFill>
                  <w14:solidFill>
                    <w14:schemeClr w14:val="tx1"/>
                  </w14:solidFill>
                </w14:textFill>
              </w:rPr>
              <w:t>1</w:t>
            </w:r>
            <w:r>
              <w:rPr>
                <w:rFonts w:hint="eastAsia" w:cs="方正小标宋简体" w:asciiTheme="majorEastAsia" w:hAnsiTheme="majorEastAsia" w:eastAsiaTheme="majorEastAsia"/>
                <w:b w:val="0"/>
                <w:bCs/>
                <w:color w:val="000000" w:themeColor="text1"/>
                <w:szCs w:val="21"/>
                <w14:textFill>
                  <w14:solidFill>
                    <w14:schemeClr w14:val="tx1"/>
                  </w14:solidFill>
                </w14:textFill>
              </w:rPr>
              <w:t>6</w:t>
            </w:r>
            <w:r>
              <w:rPr>
                <w:rFonts w:cs="方正小标宋简体" w:asciiTheme="majorEastAsia" w:hAnsiTheme="majorEastAsia" w:eastAsiaTheme="majorEastAsia"/>
                <w:b w:val="0"/>
                <w:bCs/>
                <w:color w:val="000000" w:themeColor="text1"/>
                <w:szCs w:val="21"/>
                <w14:textFill>
                  <w14:solidFill>
                    <w14:schemeClr w14:val="tx1"/>
                  </w14:solidFill>
                </w14:textFill>
              </w:rPr>
              <w:t>.</w:t>
            </w:r>
            <w:r>
              <w:rPr>
                <w:rFonts w:hint="eastAsia" w:cs="方正小标宋简体" w:asciiTheme="majorEastAsia" w:hAnsiTheme="majorEastAsia" w:eastAsiaTheme="majorEastAsia"/>
                <w:b w:val="0"/>
                <w:bCs/>
                <w:color w:val="000000" w:themeColor="text1"/>
                <w:szCs w:val="21"/>
                <w14:textFill>
                  <w14:solidFill>
                    <w14:schemeClr w14:val="tx1"/>
                  </w14:solidFill>
                </w14:textFill>
              </w:rPr>
              <w:t>中小学生安全教育情况</w:t>
            </w: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w:t>
            </w: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（1）是否利用开学初对中小学生集中开展安全教育。</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（2）是否突出防溺水、交通安全、消防安全、食品安全等安全教育重点.</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53" w:type="dxa"/>
            <w:vMerge w:val="continue"/>
            <w:vAlign w:val="center"/>
          </w:tcPr>
          <w:p>
            <w:pPr>
              <w:jc w:val="center"/>
              <w:rPr>
                <w:b w:val="0"/>
                <w:bCs/>
                <w:color w:val="000000" w:themeColor="text1"/>
                <w:sz w:val="28"/>
                <w:szCs w:val="28"/>
                <w14:textFill>
                  <w14:solidFill>
                    <w14:schemeClr w14:val="tx1"/>
                  </w14:solidFill>
                </w14:textFill>
              </w:rPr>
            </w:pPr>
          </w:p>
        </w:tc>
        <w:tc>
          <w:tcPr>
            <w:tcW w:w="2435" w:type="dxa"/>
            <w:vMerge w:val="continue"/>
            <w:vAlign w:val="center"/>
          </w:tcPr>
          <w:p>
            <w:pPr>
              <w:rPr>
                <w:rFonts w:asciiTheme="majorEastAsia" w:hAnsiTheme="majorEastAsia" w:eastAsiaTheme="majorEastAsia"/>
                <w:b w:val="0"/>
                <w:bCs/>
                <w:color w:val="000000" w:themeColor="text1"/>
                <w:szCs w:val="21"/>
                <w14:textFill>
                  <w14:solidFill>
                    <w14:schemeClr w14:val="tx1"/>
                  </w14:solidFill>
                </w14:textFill>
              </w:rPr>
            </w:pPr>
          </w:p>
        </w:tc>
        <w:tc>
          <w:tcPr>
            <w:tcW w:w="9780" w:type="dxa"/>
            <w:vAlign w:val="center"/>
          </w:tcPr>
          <w:p>
            <w:pPr>
              <w:rPr>
                <w:rFonts w:cs="仿宋_GB2312" w:asciiTheme="majorEastAsia" w:hAnsiTheme="majorEastAsia" w:eastAsiaTheme="majorEastAsia"/>
                <w:b w:val="0"/>
                <w:bCs/>
                <w:color w:val="000000" w:themeColor="text1"/>
                <w:kern w:val="0"/>
                <w:szCs w:val="21"/>
                <w14:textFill>
                  <w14:solidFill>
                    <w14:schemeClr w14:val="tx1"/>
                  </w14:solidFill>
                </w14:textFill>
              </w:rPr>
            </w:pPr>
            <w:r>
              <w:rPr>
                <w:rFonts w:hint="eastAsia" w:cs="仿宋_GB2312" w:asciiTheme="majorEastAsia" w:hAnsiTheme="majorEastAsia" w:eastAsiaTheme="majorEastAsia"/>
                <w:b w:val="0"/>
                <w:bCs/>
                <w:color w:val="000000" w:themeColor="text1"/>
                <w:kern w:val="0"/>
                <w:szCs w:val="21"/>
                <w14:textFill>
                  <w14:solidFill>
                    <w14:schemeClr w14:val="tx1"/>
                  </w14:solidFill>
                </w14:textFill>
              </w:rPr>
              <w:t>（3）是否定期组织学生开展应急疏散演练。</w:t>
            </w:r>
          </w:p>
        </w:tc>
        <w:tc>
          <w:tcPr>
            <w:tcW w:w="1701" w:type="dxa"/>
            <w:vAlign w:val="center"/>
          </w:tcPr>
          <w:p>
            <w:pPr>
              <w:jc w:val="center"/>
              <w:rPr>
                <w:rFonts w:asciiTheme="majorEastAsia" w:hAnsiTheme="majorEastAsia" w:eastAsiaTheme="majorEastAsia"/>
                <w:b w:val="0"/>
                <w:bCs/>
                <w:color w:val="000000" w:themeColor="text1"/>
                <w:szCs w:val="21"/>
                <w14:textFill>
                  <w14:solidFill>
                    <w14:schemeClr w14:val="tx1"/>
                  </w14:solidFill>
                </w14:textFill>
              </w:rPr>
            </w:pPr>
            <w:r>
              <w:rPr>
                <w:rFonts w:asciiTheme="majorEastAsia" w:hAnsiTheme="majorEastAsia" w:eastAsiaTheme="majorEastAsia"/>
                <w:b w:val="0"/>
                <w:bCs/>
                <w:color w:val="000000" w:themeColor="text1"/>
                <w:szCs w:val="21"/>
                <w14:textFill>
                  <w14:solidFill>
                    <w14:schemeClr w14:val="tx1"/>
                  </w14:solidFill>
                </w14:textFill>
              </w:rPr>
              <w:t>是</w:t>
            </w:r>
            <w:r>
              <w:rPr>
                <w:rFonts w:hint="eastAsia" w:asciiTheme="majorEastAsia" w:hAnsiTheme="majorEastAsia" w:eastAsiaTheme="majorEastAsia"/>
                <w:b w:val="0"/>
                <w:bCs/>
                <w:color w:val="000000" w:themeColor="text1"/>
                <w:szCs w:val="21"/>
                <w14:textFill>
                  <w14:solidFill>
                    <w14:schemeClr w14:val="tx1"/>
                  </w14:solidFill>
                </w14:textFill>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53" w:type="dxa"/>
            <w:vAlign w:val="center"/>
          </w:tcPr>
          <w:p>
            <w:pPr>
              <w:jc w:val="center"/>
              <w:rPr>
                <w:b w:val="0"/>
                <w:bCs/>
                <w:color w:val="000000" w:themeColor="text1"/>
                <w:sz w:val="28"/>
                <w:szCs w:val="28"/>
                <w14:textFill>
                  <w14:solidFill>
                    <w14:schemeClr w14:val="tx1"/>
                  </w14:solidFill>
                </w14:textFill>
              </w:rPr>
            </w:pPr>
          </w:p>
        </w:tc>
        <w:tc>
          <w:tcPr>
            <w:tcW w:w="13916" w:type="dxa"/>
            <w:gridSpan w:val="3"/>
            <w:vAlign w:val="center"/>
          </w:tcPr>
          <w:p>
            <w:pPr>
              <w:jc w:val="left"/>
              <w:rPr>
                <w:b w:val="0"/>
                <w:bCs/>
                <w:color w:val="000000" w:themeColor="text1"/>
                <w:sz w:val="24"/>
                <w:szCs w:val="24"/>
                <w14:textFill>
                  <w14:solidFill>
                    <w14:schemeClr w14:val="tx1"/>
                  </w14:solidFill>
                </w14:textFill>
              </w:rPr>
            </w:pPr>
            <w:r>
              <w:rPr>
                <w:rFonts w:hint="eastAsia"/>
                <w:b w:val="0"/>
                <w:bCs/>
                <w:color w:val="000000" w:themeColor="text1"/>
                <w:sz w:val="21"/>
                <w:szCs w:val="21"/>
                <w14:textFill>
                  <w14:solidFill>
                    <w14:schemeClr w14:val="tx1"/>
                  </w14:solidFill>
                </w14:textFill>
              </w:rPr>
              <w:t>注</w:t>
            </w:r>
            <w:r>
              <w:rPr>
                <w:rFonts w:hint="eastAsia"/>
                <w:b w:val="0"/>
                <w:bCs/>
                <w:color w:val="000000" w:themeColor="text1"/>
                <w:sz w:val="21"/>
                <w:szCs w:val="21"/>
                <w:lang w:val="en-US" w:eastAsia="zh-CN"/>
                <w14:textFill>
                  <w14:solidFill>
                    <w14:schemeClr w14:val="tx1"/>
                  </w14:solidFill>
                </w14:textFill>
              </w:rPr>
              <w:t>:请各学校对照以上各指标组织专人认真进行自查，整改。开学工作检查人员进行实地检查后将此表格带回教育督导室汇总。</w:t>
            </w:r>
            <w:bookmarkStart w:id="0" w:name="_GoBack"/>
            <w:bookmarkEnd w:id="0"/>
          </w:p>
        </w:tc>
      </w:tr>
    </w:tbl>
    <w:p>
      <w:pPr>
        <w:rPr>
          <w:rFonts w:ascii="宋体" w:hAnsi="宋体" w:eastAsia="宋体" w:cs="宋体"/>
          <w:b/>
          <w:bCs w:val="0"/>
          <w:szCs w:val="21"/>
          <w:u w:val="single"/>
        </w:rPr>
      </w:pPr>
    </w:p>
    <w:p/>
    <w:sectPr>
      <w:pgSz w:w="16838" w:h="11906" w:orient="landscape"/>
      <w:pgMar w:top="567" w:right="284" w:bottom="284"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D8"/>
    <w:rsid w:val="00100228"/>
    <w:rsid w:val="001165A2"/>
    <w:rsid w:val="0013635A"/>
    <w:rsid w:val="00161B43"/>
    <w:rsid w:val="001A489B"/>
    <w:rsid w:val="001C71C7"/>
    <w:rsid w:val="001F5261"/>
    <w:rsid w:val="00205157"/>
    <w:rsid w:val="002E5E60"/>
    <w:rsid w:val="005820C4"/>
    <w:rsid w:val="00582D0F"/>
    <w:rsid w:val="00614DE8"/>
    <w:rsid w:val="00656D43"/>
    <w:rsid w:val="00685719"/>
    <w:rsid w:val="006A724E"/>
    <w:rsid w:val="00762DC8"/>
    <w:rsid w:val="00802F4F"/>
    <w:rsid w:val="0083193D"/>
    <w:rsid w:val="008405C2"/>
    <w:rsid w:val="00A748A8"/>
    <w:rsid w:val="00AF3FE5"/>
    <w:rsid w:val="00B870D8"/>
    <w:rsid w:val="00BB6A8B"/>
    <w:rsid w:val="00D87737"/>
    <w:rsid w:val="00E352A4"/>
    <w:rsid w:val="00EF0D31"/>
    <w:rsid w:val="00F86F1A"/>
    <w:rsid w:val="00FB35FE"/>
    <w:rsid w:val="074D0ADE"/>
    <w:rsid w:val="0AB05BB5"/>
    <w:rsid w:val="0CD62AA4"/>
    <w:rsid w:val="165C326B"/>
    <w:rsid w:val="1DB2647C"/>
    <w:rsid w:val="249F7B24"/>
    <w:rsid w:val="28BF5AD5"/>
    <w:rsid w:val="2BBB0A86"/>
    <w:rsid w:val="49B55A9E"/>
    <w:rsid w:val="4E226B89"/>
    <w:rsid w:val="5F5A755A"/>
    <w:rsid w:val="70B0796E"/>
    <w:rsid w:val="71762F19"/>
    <w:rsid w:val="7D3528EB"/>
    <w:rsid w:val="7F18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A1444-CAB4-429D-8E64-7B83A6EE4F9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407</Words>
  <Characters>2320</Characters>
  <Lines>19</Lines>
  <Paragraphs>5</Paragraphs>
  <ScaleCrop>false</ScaleCrop>
  <LinksUpToDate>false</LinksUpToDate>
  <CharactersWithSpaces>2722</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2017-08-24T11:36:00Z</dcterms:created>
  <dc:creator>user</dc:creator>
  <cp:lastModifiedBy>Administrator</cp:lastModifiedBy>
  <cp:lastPrinted>2017-08-28T00:39:00Z</cp:lastPrinted>
  <dcterms:modified xsi:type="dcterms:W3CDTF">2017-08-28T01:33:37Z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